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Look w:val="04A0" w:firstRow="1" w:lastRow="0" w:firstColumn="1" w:lastColumn="0" w:noHBand="0" w:noVBand="1"/>
      </w:tblPr>
      <w:tblGrid>
        <w:gridCol w:w="3555"/>
        <w:gridCol w:w="5850"/>
      </w:tblGrid>
      <w:tr w:rsidR="00FF6193">
        <w:tc>
          <w:tcPr>
            <w:tcW w:w="3555" w:type="dxa"/>
          </w:tcPr>
          <w:p w:rsidR="00FF6193" w:rsidRDefault="002C7FA3">
            <w:pPr>
              <w:spacing w:before="120"/>
              <w:jc w:val="center"/>
            </w:pPr>
            <w:r>
              <w:rPr>
                <w:b/>
                <w:bCs/>
                <w:sz w:val="26"/>
              </w:rPr>
              <w:t>HỘI ĐỒNG NHÂN DÂN</w:t>
            </w:r>
            <w:r>
              <w:rPr>
                <w:b/>
                <w:bCs/>
                <w:sz w:val="26"/>
              </w:rPr>
              <w:br/>
              <w:t>TỈNH THÁI NGUYÊN</w:t>
            </w:r>
            <w:r>
              <w:rPr>
                <w:b/>
                <w:bCs/>
                <w:sz w:val="26"/>
              </w:rPr>
              <w:br/>
            </w:r>
            <w:r>
              <w:rPr>
                <w:b/>
                <w:bCs/>
              </w:rPr>
              <w:t>-------</w:t>
            </w:r>
          </w:p>
        </w:tc>
        <w:tc>
          <w:tcPr>
            <w:tcW w:w="5850" w:type="dxa"/>
          </w:tcPr>
          <w:p w:rsidR="00FF6193" w:rsidRDefault="002C7FA3">
            <w:pPr>
              <w:spacing w:before="120"/>
              <w:jc w:val="center"/>
            </w:pPr>
            <w:r>
              <w:rPr>
                <w:b/>
                <w:bCs/>
                <w:sz w:val="26"/>
              </w:rPr>
              <w:t>CỘNG HÒA XÃ HỘI CHỦ NGHĨA VIỆT NAM</w:t>
            </w:r>
            <w:r>
              <w:rPr>
                <w:b/>
                <w:bCs/>
              </w:rPr>
              <w:br/>
            </w:r>
            <w:r>
              <w:rPr>
                <w:b/>
                <w:bCs/>
                <w:sz w:val="28"/>
              </w:rPr>
              <w:t xml:space="preserve">Độc lập - Tự do - Hạnh phúc </w:t>
            </w:r>
            <w:r>
              <w:rPr>
                <w:b/>
                <w:bCs/>
                <w:sz w:val="28"/>
              </w:rPr>
              <w:br/>
            </w:r>
            <w:r>
              <w:rPr>
                <w:b/>
                <w:bCs/>
              </w:rPr>
              <w:t>---------------</w:t>
            </w:r>
          </w:p>
        </w:tc>
      </w:tr>
      <w:tr w:rsidR="00FF6193">
        <w:tc>
          <w:tcPr>
            <w:tcW w:w="3555" w:type="dxa"/>
          </w:tcPr>
          <w:p w:rsidR="00FF6193" w:rsidRDefault="002C7FA3">
            <w:pPr>
              <w:spacing w:before="120"/>
              <w:jc w:val="center"/>
              <w:rPr>
                <w:sz w:val="26"/>
              </w:rPr>
            </w:pPr>
            <w:r>
              <w:rPr>
                <w:sz w:val="26"/>
              </w:rPr>
              <w:t>Số:              /2026/NQ-HĐND</w:t>
            </w:r>
          </w:p>
          <w:p w:rsidR="00FF6193" w:rsidRDefault="002C7FA3">
            <w:pPr>
              <w:spacing w:before="120"/>
              <w:jc w:val="center"/>
              <w:rPr>
                <w:bCs/>
                <w:sz w:val="26"/>
                <w:szCs w:val="26"/>
                <w:lang w:eastAsia="en-US"/>
              </w:rPr>
            </w:pPr>
            <w:r>
              <w:rPr>
                <w:noProof/>
                <w:lang w:eastAsia="en-US"/>
              </w:rPr>
              <mc:AlternateContent>
                <mc:Choice Requires="wps">
                  <w:drawing>
                    <wp:anchor distT="0" distB="0" distL="114935" distR="114935" simplePos="0" relativeHeight="3" behindDoc="0" locked="0" layoutInCell="1" allowOverlap="1">
                      <wp:simplePos x="0" y="0"/>
                      <wp:positionH relativeFrom="column">
                        <wp:posOffset>347980</wp:posOffset>
                      </wp:positionH>
                      <wp:positionV relativeFrom="paragraph">
                        <wp:posOffset>49530</wp:posOffset>
                      </wp:positionV>
                      <wp:extent cx="1389380" cy="495300"/>
                      <wp:effectExtent l="0" t="0" r="0" b="0"/>
                      <wp:wrapNone/>
                      <wp:docPr id="1" name="Frame1"/>
                      <wp:cNvGraphicFramePr/>
                      <a:graphic xmlns:a="http://schemas.openxmlformats.org/drawingml/2006/main">
                        <a:graphicData uri="http://schemas.microsoft.com/office/word/2010/wordprocessingShape">
                          <wps:wsp>
                            <wps:cNvSpPr txBox="1"/>
                            <wps:spPr>
                              <a:xfrm>
                                <a:off x="0" y="0"/>
                                <a:ext cx="1389380" cy="495300"/>
                              </a:xfrm>
                              <a:prstGeom prst="rect">
                                <a:avLst/>
                              </a:prstGeom>
                              <a:solidFill>
                                <a:srgbClr val="FFFFFF"/>
                              </a:solidFill>
                              <a:ln w="9525">
                                <a:solidFill>
                                  <a:srgbClr val="000000"/>
                                </a:solidFill>
                              </a:ln>
                            </wps:spPr>
                            <wps:txbx>
                              <w:txbxContent>
                                <w:p w:rsidR="00FF6193" w:rsidRDefault="002C7FA3">
                                  <w:pPr>
                                    <w:jc w:val="center"/>
                                  </w:pPr>
                                  <w:r>
                                    <w:rPr>
                                      <w:b/>
                                      <w:sz w:val="28"/>
                                      <w:szCs w:val="28"/>
                                    </w:rPr>
                                    <w:t xml:space="preserve">Dự thảo </w:t>
                                  </w:r>
                                </w:p>
                              </w:txbxContent>
                            </wps:txbx>
                            <wps:bodyPr lIns="91440" tIns="45720" rIns="91440" bIns="45720" anchor="t">
                              <a:no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left:0;text-align:left;margin-left:27.4pt;margin-top:3.9pt;width:109.4pt;height:39pt;z-index:3;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">
                      <v:textbox>
                        <w:txbxContent>
                          <w:p w:rsidR="00FF6193" w:rsidRDefault="002C7FA3">
                            <w:pPr>
                              <w:jc w:val="center"/>
                            </w:pPr>
                            <w:r>
                              <w:rPr>
                                <w:b/>
                                <w:sz w:val="28"/>
                                <w:szCs w:val="28"/>
                              </w:rPr>
                              <w:t xml:space="preserve">Dự thảo </w:t>
                            </w:r>
                          </w:p>
                        </w:txbxContent>
                      </v:textbox>
                    </v:shape>
                  </w:pict>
                </mc:Fallback>
              </mc:AlternateContent>
            </w:r>
          </w:p>
          <w:p w:rsidR="00FF6193" w:rsidRDefault="00FF6193">
            <w:pPr>
              <w:spacing w:before="60" w:after="60" w:line="320" w:lineRule="exact"/>
              <w:rPr>
                <w:bCs/>
                <w:sz w:val="26"/>
                <w:szCs w:val="26"/>
              </w:rPr>
            </w:pPr>
          </w:p>
          <w:p w:rsidR="00FF6193" w:rsidRDefault="00FF6193">
            <w:pPr>
              <w:spacing w:before="120"/>
              <w:jc w:val="center"/>
              <w:rPr>
                <w:bCs/>
                <w:sz w:val="26"/>
                <w:szCs w:val="26"/>
              </w:rPr>
            </w:pPr>
          </w:p>
        </w:tc>
        <w:tc>
          <w:tcPr>
            <w:tcW w:w="5850" w:type="dxa"/>
          </w:tcPr>
          <w:p w:rsidR="00FF6193" w:rsidRDefault="002C7FA3">
            <w:pPr>
              <w:spacing w:before="120"/>
              <w:jc w:val="right"/>
            </w:pPr>
            <w:r>
              <w:rPr>
                <w:i/>
                <w:iCs/>
                <w:sz w:val="26"/>
              </w:rPr>
              <w:t>Thái Nguyên, ngày      tháng     năm 2026</w:t>
            </w:r>
          </w:p>
        </w:tc>
      </w:tr>
    </w:tbl>
    <w:p w:rsidR="00FF6193" w:rsidRDefault="002C7FA3">
      <w:pPr>
        <w:spacing w:before="120" w:after="280"/>
        <w:jc w:val="center"/>
        <w:rPr>
          <w:sz w:val="32"/>
        </w:rPr>
      </w:pPr>
      <w:bookmarkStart w:id="0" w:name="loai_1"/>
      <w:r>
        <w:rPr>
          <w:b/>
          <w:bCs/>
          <w:sz w:val="32"/>
        </w:rPr>
        <w:t>NGHỊ QUYẾT</w:t>
      </w:r>
      <w:bookmarkEnd w:id="0"/>
    </w:p>
    <w:p w:rsidR="00FF6193" w:rsidRDefault="002C7FA3">
      <w:pPr>
        <w:spacing w:before="120" w:after="280"/>
        <w:jc w:val="center"/>
      </w:pPr>
      <w:r>
        <w:rPr>
          <w:b/>
          <w:sz w:val="28"/>
          <w:szCs w:val="28"/>
        </w:rPr>
        <w:t xml:space="preserve">Quy định diện tích nhà ở tối thiểu để đăng ký thường trú tại chỗ ở hợp pháp do thuê, mượn, ở nhờ trên địa bàn tỉnh Thái Nguyên </w:t>
      </w:r>
    </w:p>
    <w:p w:rsidR="00FF6193" w:rsidRDefault="002C7FA3">
      <w:pPr>
        <w:ind w:firstLine="540"/>
        <w:jc w:val="center"/>
        <w:rPr>
          <w:b/>
          <w:bCs/>
          <w:sz w:val="28"/>
          <w:szCs w:val="28"/>
        </w:rPr>
      </w:pPr>
      <w:bookmarkStart w:id="1" w:name="loai_1_name"/>
      <w:bookmarkEnd w:id="1"/>
      <w:r>
        <w:rPr>
          <w:b/>
          <w:bCs/>
          <w:sz w:val="28"/>
          <w:szCs w:val="28"/>
        </w:rPr>
        <w:t>HỘI ĐỒNG NHÂN DÂN TỈNH THÁI NGUYÊN</w:t>
      </w:r>
    </w:p>
    <w:p w:rsidR="00FF6193" w:rsidRDefault="00FF6193">
      <w:pPr>
        <w:spacing w:before="120" w:after="280"/>
        <w:jc w:val="center"/>
        <w:rPr>
          <w:b/>
          <w:bCs/>
          <w:sz w:val="6"/>
          <w:szCs w:val="28"/>
        </w:rPr>
      </w:pPr>
    </w:p>
    <w:p w:rsidR="00FF6193" w:rsidRDefault="002C7FA3">
      <w:pPr>
        <w:ind w:firstLine="567"/>
        <w:rPr>
          <w:i/>
          <w:iCs/>
          <w:sz w:val="28"/>
          <w:szCs w:val="28"/>
        </w:rPr>
      </w:pPr>
      <w:r>
        <w:rPr>
          <w:i/>
          <w:iCs/>
          <w:sz w:val="28"/>
          <w:szCs w:val="28"/>
        </w:rPr>
        <w:t xml:space="preserve">Căn cứ Luật Cư trú số 68/2020/QH14; Luật Tổ chức chính quyền địa phương số 72/2025/QH15;                                                                                                                                                                        </w:t>
      </w:r>
      <w:r>
        <w:rPr>
          <w:i/>
          <w:iCs/>
          <w:sz w:val="28"/>
          <w:szCs w:val="28"/>
        </w:rPr>
        <w:t xml:space="preserve">                                                                                                               </w:t>
      </w:r>
    </w:p>
    <w:p w:rsidR="00FF6193" w:rsidRDefault="002C7FA3">
      <w:pPr>
        <w:ind w:firstLine="567"/>
        <w:jc w:val="both"/>
        <w:rPr>
          <w:i/>
          <w:iCs/>
          <w:sz w:val="28"/>
          <w:szCs w:val="28"/>
        </w:rPr>
      </w:pPr>
      <w:r>
        <w:rPr>
          <w:i/>
          <w:iCs/>
          <w:sz w:val="28"/>
          <w:szCs w:val="28"/>
        </w:rPr>
        <w:t>Căn cứ Luật Ban hành văn bản quy phạm pháp luật số 64/2025/QH15 được sửa đổi, bổ sung bởi Luật số 87/2025/QH15;</w:t>
      </w:r>
    </w:p>
    <w:p w:rsidR="00FF6193" w:rsidRDefault="002C7FA3">
      <w:pPr>
        <w:ind w:firstLine="567"/>
        <w:jc w:val="both"/>
      </w:pPr>
      <w:r>
        <w:rPr>
          <w:i/>
          <w:iCs/>
          <w:sz w:val="28"/>
          <w:szCs w:val="28"/>
        </w:rPr>
        <w:t>Căn cứ Nghị định số 154/2024/NĐ-</w:t>
      </w:r>
      <w:r>
        <w:rPr>
          <w:i/>
          <w:iCs/>
          <w:sz w:val="28"/>
          <w:szCs w:val="28"/>
        </w:rPr>
        <w:t>CP ngày 26 tháng 11 năm 2024 của Chính phủ quy định chi tiết một số điều và biện pháp thi hành Luật Cư trú; Nghị định số 58/2026/NĐ-CP ngày 13 tháng 02 năm 2026 của Chính phủ sửa đổi, bổ sung một số điều của các Nghị định liên quan đến quy định điều kiện v</w:t>
      </w:r>
      <w:r>
        <w:rPr>
          <w:i/>
          <w:iCs/>
          <w:sz w:val="28"/>
          <w:szCs w:val="28"/>
        </w:rPr>
        <w:t xml:space="preserve">ề an ninh, trật tự đối với một số ngành, nghề đầu tư kinh doanh có điều kiện; quản lý và sử dụng con dấu; quản lý, sử dụng pháo; quy định chi tiết một số điều và biện pháp thi hành </w:t>
      </w:r>
      <w:hyperlink r:id="rId4">
        <w:r>
          <w:rPr>
            <w:rStyle w:val="Hyperlink"/>
            <w:i/>
            <w:iCs/>
            <w:sz w:val="28"/>
            <w:szCs w:val="28"/>
          </w:rPr>
          <w:t>Luật Cư</w:t>
        </w:r>
      </w:hyperlink>
      <w:r>
        <w:rPr>
          <w:i/>
          <w:iCs/>
          <w:sz w:val="28"/>
          <w:szCs w:val="28"/>
        </w:rPr>
        <w:t xml:space="preserve"> trú, </w:t>
      </w:r>
      <w:hyperlink r:id="rId5">
        <w:r>
          <w:rPr>
            <w:rStyle w:val="Hyperlink"/>
            <w:i/>
            <w:iCs/>
            <w:sz w:val="28"/>
            <w:szCs w:val="28"/>
          </w:rPr>
          <w:t>Luật C</w:t>
        </w:r>
      </w:hyperlink>
      <w:r>
        <w:rPr>
          <w:i/>
          <w:iCs/>
          <w:sz w:val="28"/>
          <w:szCs w:val="28"/>
        </w:rPr>
        <w:t>ăn cước;</w:t>
      </w:r>
    </w:p>
    <w:p w:rsidR="00FF6193" w:rsidRDefault="002C7FA3">
      <w:pPr>
        <w:ind w:firstLine="567"/>
        <w:jc w:val="both"/>
        <w:rPr>
          <w:sz w:val="28"/>
          <w:szCs w:val="28"/>
        </w:rPr>
      </w:pPr>
      <w:r>
        <w:rPr>
          <w:i/>
          <w:iCs/>
          <w:sz w:val="28"/>
          <w:szCs w:val="28"/>
        </w:rPr>
        <w:t>Xét Tờ trình số ……. /TTr-UBND ngày</w:t>
      </w:r>
      <w:proofErr w:type="gramStart"/>
      <w:r>
        <w:rPr>
          <w:i/>
          <w:iCs/>
          <w:sz w:val="28"/>
          <w:szCs w:val="28"/>
        </w:rPr>
        <w:t>….tháng</w:t>
      </w:r>
      <w:proofErr w:type="gramEnd"/>
      <w:r>
        <w:rPr>
          <w:i/>
          <w:iCs/>
          <w:sz w:val="28"/>
          <w:szCs w:val="28"/>
        </w:rPr>
        <w:t xml:space="preserve">   năm 2026 của Ủy ban nhân dân tỉnh về việc đề nghị</w:t>
      </w:r>
      <w:r>
        <w:rPr>
          <w:i/>
          <w:iCs/>
          <w:sz w:val="28"/>
          <w:szCs w:val="28"/>
        </w:rPr>
        <w:t xml:space="preserve"> ban hành Nghị quyết Quy định  diện tích nhà ở tối thiểu để đăng ký thường trú tại chỗ ở hợp pháp do thuê, mượn, ở nhờ trên địa bàn tỉnh Thái Nguyên; Báo cáo thẩm tra của Ban Pháp chế Hội đồng nhân dân tỉnh; ý kiến thảo luận của đại biểu Hội đồng nhân dân </w:t>
      </w:r>
      <w:r>
        <w:rPr>
          <w:i/>
          <w:iCs/>
          <w:sz w:val="28"/>
          <w:szCs w:val="28"/>
        </w:rPr>
        <w:t>tại kỳ họp;</w:t>
      </w:r>
    </w:p>
    <w:p w:rsidR="00FF6193" w:rsidRDefault="002C7FA3">
      <w:pPr>
        <w:ind w:firstLine="567"/>
        <w:jc w:val="both"/>
        <w:rPr>
          <w:i/>
          <w:iCs/>
          <w:sz w:val="28"/>
          <w:szCs w:val="28"/>
        </w:rPr>
      </w:pPr>
      <w:r>
        <w:rPr>
          <w:i/>
          <w:iCs/>
          <w:sz w:val="28"/>
          <w:szCs w:val="28"/>
        </w:rPr>
        <w:t>Hội đồng nhân dân ban hành Nghị quyết Quy định diện tích nhà ở tối thiểu để đăng ký thường trú tại chỗ ở hợp pháp do thuê, mượn, ở nhờ trên địa bàn tỉnh Thái Nguyên.</w:t>
      </w:r>
    </w:p>
    <w:p w:rsidR="00FF6193" w:rsidRDefault="002C7FA3">
      <w:pPr>
        <w:ind w:firstLine="567"/>
        <w:jc w:val="both"/>
        <w:rPr>
          <w:sz w:val="28"/>
          <w:szCs w:val="28"/>
        </w:rPr>
      </w:pPr>
      <w:bookmarkStart w:id="2" w:name="dieu_1"/>
      <w:bookmarkStart w:id="3" w:name="_GoBack"/>
      <w:r>
        <w:rPr>
          <w:b/>
          <w:bCs/>
          <w:sz w:val="28"/>
          <w:szCs w:val="28"/>
        </w:rPr>
        <w:t>Điều 1. Phạm vi điều chỉnh</w:t>
      </w:r>
      <w:bookmarkEnd w:id="2"/>
      <w:r>
        <w:rPr>
          <w:b/>
          <w:bCs/>
          <w:sz w:val="28"/>
          <w:szCs w:val="28"/>
        </w:rPr>
        <w:t xml:space="preserve"> và đối tượng áp dụng</w:t>
      </w:r>
    </w:p>
    <w:p w:rsidR="00FF6193" w:rsidRDefault="002C7FA3">
      <w:pPr>
        <w:ind w:firstLine="567"/>
        <w:jc w:val="both"/>
        <w:rPr>
          <w:sz w:val="28"/>
          <w:szCs w:val="28"/>
        </w:rPr>
      </w:pPr>
      <w:r>
        <w:rPr>
          <w:sz w:val="28"/>
          <w:szCs w:val="28"/>
        </w:rPr>
        <w:t>1. Phạm vi điều chỉnh</w:t>
      </w:r>
    </w:p>
    <w:p w:rsidR="00FF6193" w:rsidRDefault="002C7FA3">
      <w:pPr>
        <w:ind w:firstLine="567"/>
        <w:jc w:val="both"/>
        <w:rPr>
          <w:sz w:val="28"/>
          <w:szCs w:val="28"/>
        </w:rPr>
      </w:pPr>
      <w:r>
        <w:rPr>
          <w:sz w:val="28"/>
          <w:szCs w:val="28"/>
        </w:rPr>
        <w:t>Nghị qu</w:t>
      </w:r>
      <w:r>
        <w:rPr>
          <w:sz w:val="28"/>
          <w:szCs w:val="28"/>
        </w:rPr>
        <w:t xml:space="preserve">yết quy định điều kiện về diện tích nhà ở tối thiểu để đăng ký thường trú tại chỗ ở hợp pháp do thuê, mượn, ở nhờ trên địa bàn tỉnh </w:t>
      </w:r>
      <w:r>
        <w:rPr>
          <w:iCs/>
          <w:sz w:val="28"/>
          <w:szCs w:val="28"/>
        </w:rPr>
        <w:t>Thái Nguyên theo quy đinh điểm a khoản 3 Điều 20 Luật Cư trú số 68/2020/QH14 ngày 13 tháng 11 năm 2020 của Quốc hội</w:t>
      </w:r>
      <w:r>
        <w:rPr>
          <w:sz w:val="28"/>
          <w:szCs w:val="28"/>
        </w:rPr>
        <w:t>.</w:t>
      </w:r>
    </w:p>
    <w:p w:rsidR="00FF6193" w:rsidRDefault="002C7FA3">
      <w:pPr>
        <w:ind w:firstLine="567"/>
        <w:jc w:val="both"/>
        <w:rPr>
          <w:sz w:val="28"/>
          <w:szCs w:val="28"/>
        </w:rPr>
      </w:pPr>
      <w:r>
        <w:rPr>
          <w:sz w:val="28"/>
          <w:szCs w:val="28"/>
        </w:rPr>
        <w:lastRenderedPageBreak/>
        <w:t xml:space="preserve">2. </w:t>
      </w:r>
      <w:bookmarkStart w:id="4" w:name="dieu_2"/>
      <w:r>
        <w:rPr>
          <w:bCs/>
          <w:sz w:val="28"/>
          <w:szCs w:val="28"/>
        </w:rPr>
        <w:t xml:space="preserve">Đối </w:t>
      </w:r>
      <w:r>
        <w:rPr>
          <w:bCs/>
          <w:sz w:val="28"/>
          <w:szCs w:val="28"/>
        </w:rPr>
        <w:t>tượng áp dụng</w:t>
      </w:r>
      <w:bookmarkEnd w:id="4"/>
    </w:p>
    <w:p w:rsidR="00FF6193" w:rsidRDefault="002C7FA3">
      <w:pPr>
        <w:ind w:firstLine="567"/>
        <w:jc w:val="both"/>
      </w:pPr>
      <w:r>
        <w:rPr>
          <w:sz w:val="28"/>
          <w:szCs w:val="28"/>
        </w:rPr>
        <w:t>a) Công dân Việt Nam đăng ký thường trú tại chỗ ở hợp pháp do thuê, mượn, ở nhờ trên địa bàn tỉnh Thái Nguyên, trừ các trường hợp quy định tại khoản 2 Điều 20 của Luật Cư trú năm 2020;</w:t>
      </w:r>
    </w:p>
    <w:p w:rsidR="00FF6193" w:rsidRDefault="002C7FA3">
      <w:pPr>
        <w:ind w:firstLine="567"/>
        <w:jc w:val="both"/>
      </w:pPr>
      <w:r>
        <w:rPr>
          <w:sz w:val="28"/>
          <w:szCs w:val="28"/>
        </w:rPr>
        <w:t>b) Cơ quan đăng ký, quản lý cư trú;</w:t>
      </w:r>
    </w:p>
    <w:p w:rsidR="00FF6193" w:rsidRDefault="002C7FA3">
      <w:pPr>
        <w:ind w:firstLine="567"/>
        <w:jc w:val="both"/>
      </w:pPr>
      <w:r>
        <w:rPr>
          <w:sz w:val="28"/>
          <w:szCs w:val="28"/>
        </w:rPr>
        <w:t>c) Chủ sở hữu chỗ ở h</w:t>
      </w:r>
      <w:r>
        <w:rPr>
          <w:sz w:val="28"/>
          <w:szCs w:val="28"/>
        </w:rPr>
        <w:t>ợp pháp có nhà cho thuê, mượn, ở nhờ;</w:t>
      </w:r>
    </w:p>
    <w:p w:rsidR="00FF6193" w:rsidRDefault="002C7FA3">
      <w:pPr>
        <w:ind w:firstLine="567"/>
        <w:jc w:val="both"/>
      </w:pPr>
      <w:r>
        <w:rPr>
          <w:sz w:val="28"/>
          <w:szCs w:val="28"/>
        </w:rPr>
        <w:t>d) Các cơ quan, tổ chức, hộ gia đình, cá nhân có liên quan đến đăng ký cư trú.</w:t>
      </w:r>
    </w:p>
    <w:p w:rsidR="00FF6193" w:rsidRDefault="002C7FA3">
      <w:pPr>
        <w:ind w:firstLine="567"/>
        <w:jc w:val="both"/>
        <w:rPr>
          <w:sz w:val="28"/>
          <w:szCs w:val="28"/>
        </w:rPr>
      </w:pPr>
      <w:bookmarkStart w:id="5" w:name="dieu_3"/>
      <w:r>
        <w:rPr>
          <w:b/>
          <w:bCs/>
          <w:sz w:val="28"/>
          <w:szCs w:val="28"/>
        </w:rPr>
        <w:t>Điều 2. Điều kiện về diện tích nhà ở tối thiểu để đăng ký thường trú tại chỗ ở hợp pháp do thuê, mượn, ở nhờ trên địa bàn tỉnh Thái Nguyên</w:t>
      </w:r>
      <w:bookmarkEnd w:id="5"/>
    </w:p>
    <w:p w:rsidR="00FF6193" w:rsidRDefault="002C7FA3">
      <w:pPr>
        <w:ind w:firstLine="567"/>
        <w:jc w:val="both"/>
      </w:pPr>
      <w:r>
        <w:rPr>
          <w:sz w:val="28"/>
          <w:szCs w:val="28"/>
        </w:rPr>
        <w:t>Diện tích nhà ở tối thiểu để được đăng ký thường trú tại chỗ ở hợp pháp do thuê, mượn, ở nhờ trên địa bàn tỉnh Thái Nguyên là 08m</w:t>
      </w:r>
      <w:r>
        <w:rPr>
          <w:sz w:val="28"/>
          <w:szCs w:val="28"/>
          <w:vertAlign w:val="superscript"/>
        </w:rPr>
        <w:t>2</w:t>
      </w:r>
      <w:r>
        <w:rPr>
          <w:sz w:val="28"/>
          <w:szCs w:val="28"/>
        </w:rPr>
        <w:t xml:space="preserve"> sàn/người.</w:t>
      </w:r>
    </w:p>
    <w:p w:rsidR="00FF6193" w:rsidRDefault="002C7FA3">
      <w:pPr>
        <w:ind w:firstLine="567"/>
        <w:jc w:val="both"/>
        <w:rPr>
          <w:sz w:val="28"/>
          <w:szCs w:val="28"/>
        </w:rPr>
      </w:pPr>
      <w:bookmarkStart w:id="6" w:name="dieu_4"/>
      <w:r>
        <w:rPr>
          <w:b/>
          <w:bCs/>
          <w:sz w:val="28"/>
          <w:szCs w:val="28"/>
        </w:rPr>
        <w:t>Điều 3. Tổ chức thực hiện</w:t>
      </w:r>
      <w:bookmarkEnd w:id="6"/>
    </w:p>
    <w:p w:rsidR="00FF6193" w:rsidRDefault="002C7FA3">
      <w:pPr>
        <w:ind w:firstLine="567"/>
        <w:jc w:val="both"/>
      </w:pPr>
      <w:r>
        <w:rPr>
          <w:sz w:val="28"/>
          <w:szCs w:val="28"/>
        </w:rPr>
        <w:t>1. Giao Ủy ban nhân dân tỉnh tổ chức thực hiện Nghị quyết theo đúng quy định pháp luật.</w:t>
      </w:r>
    </w:p>
    <w:p w:rsidR="00FF6193" w:rsidRDefault="002C7FA3">
      <w:pPr>
        <w:ind w:firstLine="567"/>
        <w:jc w:val="both"/>
      </w:pPr>
      <w:r>
        <w:rPr>
          <w:sz w:val="28"/>
          <w:szCs w:val="28"/>
        </w:rPr>
        <w:t xml:space="preserve"> 2. Giao Thường trực Hội đồng nhân dân, các ban Hội đồng nhân dân tỉnh, các Tổ đại biểu Hội đồng nhân dân tỉnh và đại biểu Hội đồng nhân dân tỉnh giám sát việc thực hiện Nghị quyết.</w:t>
      </w:r>
    </w:p>
    <w:p w:rsidR="00FF6193" w:rsidRDefault="002C7FA3">
      <w:pPr>
        <w:ind w:firstLine="567"/>
        <w:jc w:val="both"/>
        <w:rPr>
          <w:b/>
          <w:bCs/>
          <w:sz w:val="28"/>
          <w:szCs w:val="28"/>
        </w:rPr>
      </w:pPr>
      <w:r>
        <w:rPr>
          <w:b/>
          <w:bCs/>
          <w:sz w:val="28"/>
          <w:szCs w:val="28"/>
        </w:rPr>
        <w:t>Điều 4. Hiệu lực thi hành</w:t>
      </w:r>
    </w:p>
    <w:p w:rsidR="00FF6193" w:rsidRDefault="002C7FA3">
      <w:pPr>
        <w:ind w:firstLine="567"/>
        <w:jc w:val="both"/>
      </w:pPr>
      <w:r>
        <w:rPr>
          <w:sz w:val="28"/>
          <w:szCs w:val="28"/>
        </w:rPr>
        <w:t xml:space="preserve">1. Nghị quyết này có hiệu lực thi hành từ ngày </w:t>
      </w:r>
      <w:r>
        <w:rPr>
          <w:sz w:val="28"/>
          <w:szCs w:val="28"/>
        </w:rPr>
        <w:t xml:space="preserve">   /        /2026.</w:t>
      </w:r>
    </w:p>
    <w:p w:rsidR="00FF6193" w:rsidRDefault="002C7FA3">
      <w:pPr>
        <w:ind w:firstLine="567"/>
        <w:jc w:val="both"/>
      </w:pPr>
      <w:r>
        <w:rPr>
          <w:sz w:val="28"/>
          <w:szCs w:val="28"/>
        </w:rPr>
        <w:t>2. Nghị quyết số 02/2022/NQ-HĐND ngày 27 tháng 4 năm 2022 của Hội đồng nhân dân tỉnh Bắc Kạn Quy định diện tích nhà ở tối thiểu để được đăng ký thường trú tại chỗ ở hợp pháp do thuê, mượn, ở nhờ trên địa bàn tỉnh Bắc Kạn và Nghị quyết số</w:t>
      </w:r>
      <w:r>
        <w:rPr>
          <w:sz w:val="28"/>
          <w:szCs w:val="28"/>
        </w:rPr>
        <w:t xml:space="preserve"> 32/2022/NQ-HĐND ngày 08 tháng 12 năm 2022 của Hội đồng nhân dân tỉnh Thái Nguyên hết hiệu lực kể từ ngày Nghị quyết này có hiệu lực thi hành.</w:t>
      </w:r>
    </w:p>
    <w:bookmarkEnd w:id="3"/>
    <w:p w:rsidR="00FF6193" w:rsidRDefault="002C7FA3">
      <w:pPr>
        <w:ind w:firstLine="567"/>
        <w:jc w:val="both"/>
        <w:rPr>
          <w:sz w:val="28"/>
          <w:szCs w:val="28"/>
        </w:rPr>
      </w:pPr>
      <w:r>
        <w:rPr>
          <w:i/>
          <w:iCs/>
          <w:sz w:val="28"/>
          <w:szCs w:val="28"/>
        </w:rPr>
        <w:t>Nghị quyết này đã được Hội đồng nhân dân tỉnh Thái Nguyên Khoá…</w:t>
      </w:r>
      <w:proofErr w:type="gramStart"/>
      <w:r>
        <w:rPr>
          <w:i/>
          <w:iCs/>
          <w:sz w:val="28"/>
          <w:szCs w:val="28"/>
        </w:rPr>
        <w:t>…..</w:t>
      </w:r>
      <w:proofErr w:type="gramEnd"/>
      <w:r>
        <w:rPr>
          <w:i/>
          <w:iCs/>
          <w:sz w:val="28"/>
          <w:szCs w:val="28"/>
        </w:rPr>
        <w:t xml:space="preserve">       Kỳ họp thứ …</w:t>
      </w:r>
      <w:proofErr w:type="gramStart"/>
      <w:r>
        <w:rPr>
          <w:i/>
          <w:iCs/>
          <w:sz w:val="28"/>
          <w:szCs w:val="28"/>
        </w:rPr>
        <w:t>…..</w:t>
      </w:r>
      <w:proofErr w:type="gramEnd"/>
      <w:r>
        <w:rPr>
          <w:i/>
          <w:iCs/>
          <w:sz w:val="28"/>
          <w:szCs w:val="28"/>
        </w:rPr>
        <w:t>thông qua ngày       thán</w:t>
      </w:r>
      <w:r>
        <w:rPr>
          <w:i/>
          <w:iCs/>
          <w:sz w:val="28"/>
          <w:szCs w:val="28"/>
        </w:rPr>
        <w:t>g     năm 2026.</w:t>
      </w:r>
    </w:p>
    <w:tbl>
      <w:tblPr>
        <w:tblW w:w="5000" w:type="pct"/>
        <w:tblLayout w:type="fixed"/>
        <w:tblCellMar>
          <w:left w:w="0" w:type="dxa"/>
          <w:right w:w="0" w:type="dxa"/>
        </w:tblCellMar>
        <w:tblLook w:val="04A0" w:firstRow="1" w:lastRow="0" w:firstColumn="1" w:lastColumn="0" w:noHBand="0" w:noVBand="1"/>
      </w:tblPr>
      <w:tblGrid>
        <w:gridCol w:w="4702"/>
        <w:gridCol w:w="4703"/>
      </w:tblGrid>
      <w:tr w:rsidR="00FF6193">
        <w:tc>
          <w:tcPr>
            <w:tcW w:w="4702" w:type="dxa"/>
          </w:tcPr>
          <w:p w:rsidR="00FF6193" w:rsidRDefault="002C7FA3">
            <w:pPr>
              <w:spacing w:before="120"/>
            </w:pPr>
            <w:r>
              <w:t> </w:t>
            </w:r>
            <w:r>
              <w:br/>
            </w:r>
            <w:r>
              <w:rPr>
                <w:b/>
                <w:bCs/>
                <w:i/>
                <w:iCs/>
              </w:rPr>
              <w:t>Nơi nhận:</w:t>
            </w:r>
            <w:r>
              <w:br/>
            </w:r>
            <w:r>
              <w:rPr>
                <w:sz w:val="16"/>
              </w:rPr>
              <w:t>- Ủy ban Thường vụ Quốc hội, Chính phủ (Báo cáo);</w:t>
            </w:r>
            <w:r>
              <w:rPr>
                <w:sz w:val="16"/>
              </w:rPr>
              <w:br/>
              <w:t>- Các Bộ: Công an, Nội vụ, Xây dựng (Báo cáo);</w:t>
            </w:r>
            <w:r>
              <w:rPr>
                <w:sz w:val="16"/>
              </w:rPr>
              <w:br/>
              <w:t>- Cục Kiểm tra văn bản và Tổ chức thi hành pháp luật - Bộ Tư pháp;</w:t>
            </w:r>
            <w:r>
              <w:rPr>
                <w:sz w:val="16"/>
              </w:rPr>
              <w:br/>
              <w:t>- TTTU, TTHĐND, UBND, UBMTTQVN tỉnh;</w:t>
            </w:r>
            <w:r>
              <w:rPr>
                <w:sz w:val="16"/>
              </w:rPr>
              <w:br/>
              <w:t xml:space="preserve">- Các cơ quan chuyên trách </w:t>
            </w:r>
            <w:r>
              <w:rPr>
                <w:sz w:val="16"/>
              </w:rPr>
              <w:t>tham mưu, giúp việc Tỉnh ủy;</w:t>
            </w:r>
            <w:r>
              <w:rPr>
                <w:sz w:val="16"/>
              </w:rPr>
              <w:br/>
              <w:t>- Đoàn ĐBQH tỉnh;</w:t>
            </w:r>
            <w:r>
              <w:rPr>
                <w:sz w:val="16"/>
              </w:rPr>
              <w:br/>
              <w:t>- Các Ban của HĐND tỉnh;</w:t>
            </w:r>
            <w:r>
              <w:rPr>
                <w:sz w:val="16"/>
              </w:rPr>
              <w:br/>
              <w:t>- Đại biểu HĐND tỉnh;</w:t>
            </w:r>
            <w:r>
              <w:rPr>
                <w:sz w:val="16"/>
              </w:rPr>
              <w:br/>
              <w:t>- Các sở, ban, ngành;</w:t>
            </w:r>
            <w:r>
              <w:rPr>
                <w:sz w:val="16"/>
              </w:rPr>
              <w:br/>
              <w:t>- Cơ quan Trung ương đóng trên địa bàn tỉnh;</w:t>
            </w:r>
            <w:r>
              <w:rPr>
                <w:sz w:val="16"/>
              </w:rPr>
              <w:br/>
              <w:t>- Văn phòng UBND tỉnh;</w:t>
            </w:r>
            <w:r>
              <w:rPr>
                <w:sz w:val="16"/>
              </w:rPr>
              <w:br/>
              <w:t>- TT HĐND, UBND các xã, phường và đặc khu;</w:t>
            </w:r>
            <w:r>
              <w:rPr>
                <w:sz w:val="16"/>
              </w:rPr>
              <w:br/>
              <w:t>- Báo và Phát thanh, Truyền h</w:t>
            </w:r>
            <w:r>
              <w:rPr>
                <w:sz w:val="16"/>
              </w:rPr>
              <w:t>ình Thái Nguyên;</w:t>
            </w:r>
            <w:r>
              <w:rPr>
                <w:sz w:val="16"/>
              </w:rPr>
              <w:br/>
              <w:t>- Trung tâm Thông tin tinh;</w:t>
            </w:r>
            <w:r>
              <w:rPr>
                <w:sz w:val="16"/>
              </w:rPr>
              <w:br/>
              <w:t>- VP ĐĐBQH và HĐND tỉnh: C-PCVP, các phòng, CV;</w:t>
            </w:r>
            <w:r>
              <w:rPr>
                <w:sz w:val="16"/>
              </w:rPr>
              <w:br/>
              <w:t>- Lưu: VT, CTHĐND.</w:t>
            </w:r>
          </w:p>
        </w:tc>
        <w:tc>
          <w:tcPr>
            <w:tcW w:w="4703" w:type="dxa"/>
          </w:tcPr>
          <w:p w:rsidR="00FF6193" w:rsidRDefault="002C7FA3">
            <w:pPr>
              <w:spacing w:before="120"/>
              <w:jc w:val="center"/>
            </w:pPr>
            <w:r>
              <w:rPr>
                <w:b/>
                <w:bCs/>
                <w:sz w:val="28"/>
              </w:rPr>
              <w:t>CHỦ TỊCH</w:t>
            </w:r>
            <w:r>
              <w:br/>
            </w:r>
            <w:r>
              <w:rPr>
                <w:b/>
                <w:bCs/>
              </w:rPr>
              <w:br/>
            </w:r>
            <w:r>
              <w:rPr>
                <w:b/>
                <w:bCs/>
              </w:rPr>
              <w:br/>
            </w:r>
            <w:r>
              <w:rPr>
                <w:b/>
                <w:bCs/>
              </w:rPr>
              <w:br/>
            </w:r>
            <w:r>
              <w:rPr>
                <w:b/>
                <w:bCs/>
              </w:rPr>
              <w:br/>
            </w:r>
            <w:r>
              <w:rPr>
                <w:b/>
                <w:bCs/>
                <w:sz w:val="28"/>
              </w:rPr>
              <w:t>Bùi Văn Lương</w:t>
            </w:r>
          </w:p>
        </w:tc>
      </w:tr>
    </w:tbl>
    <w:p w:rsidR="00FF6193" w:rsidRDefault="002C7FA3">
      <w:pPr>
        <w:spacing w:before="120" w:after="280"/>
        <w:rPr>
          <w:b/>
          <w:bCs/>
          <w:i/>
          <w:iCs/>
        </w:rPr>
      </w:pPr>
      <w:r>
        <w:rPr>
          <w:b/>
          <w:bCs/>
          <w:i/>
          <w:iCs/>
        </w:rPr>
        <w:t> </w:t>
      </w:r>
    </w:p>
    <w:sectPr w:rsidR="00FF6193">
      <w:pgSz w:w="12240" w:h="15840"/>
      <w:pgMar w:top="1304" w:right="1247" w:bottom="1304" w:left="158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Noto Serif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193"/>
    <w:rsid w:val="000438BD"/>
    <w:rsid w:val="002C7FA3"/>
    <w:rsid w:val="00F41D20"/>
    <w:rsid w:val="00FF6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961148-7D82-4A58-9829-7705B129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erif CJK SC"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BalloonTextChar">
    <w:name w:val="Balloon Text Char"/>
    <w:qFormat/>
    <w:rPr>
      <w:rFonts w:ascii="Segoe UI" w:hAnsi="Segoe UI" w:cs="Segoe UI"/>
      <w:sz w:val="18"/>
      <w:szCs w:val="18"/>
    </w:rPr>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BalloonText">
    <w:name w:val="Balloon Text"/>
    <w:basedOn w:val="Normal"/>
    <w:qFormat/>
    <w:rPr>
      <w:rFonts w:ascii="Segoe UI" w:hAnsi="Segoe UI" w:cs="Segoe UI"/>
      <w:sz w:val="18"/>
      <w:szCs w:val="18"/>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Quyen-dan-su/Luat-Can-cuoc-26-2023-QH15-552422.aspx" TargetMode="External"/><Relationship Id="rId4" Type="http://schemas.openxmlformats.org/officeDocument/2006/relationships/hyperlink" Target="https://thuvienphapluat.vn/van-ban/Quyen-dan-su/Luat-68-2020-QH14-cu-tru-435315.aspx"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2</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dc:creator>
  <cp:lastModifiedBy>NGA</cp:lastModifiedBy>
  <cp:revision>3</cp:revision>
  <dcterms:created xsi:type="dcterms:W3CDTF">2026-06-13T02:55:00Z</dcterms:created>
  <dcterms:modified xsi:type="dcterms:W3CDTF">2026-06-13T09:10:00Z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2026-05-27T10:56:00Z</dcterms:created>
  <dc:creator>NGA</dc:creator>
  <dc:description/>
  <cp:keywords/>
  <dc:language>en-US</dc:language>
  <cp:lastModifiedBy>NGA</cp:lastModifiedBy>
  <cp:lastPrinted>2026-06-11T17:07:00Z</cp:lastPrinted>
  <dcterms:modified xsi:type="dcterms:W3CDTF">2026-06-11T10:08:00Z</dcterms:modified>
  <cp:revision>21</cp:revision>
  <dc:subject/>
  <dc:title/>
</cp:coreProperties>
</file>